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</w:tcPr>
          <w:p>
            <w:pPr>
              <w:spacing w:before="16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52"/>
              </w:rPr>
              <w:t>PRE-MORTEM ANALYSIS</w:t>
            </w:r>
          </w:p>
          <w:p>
            <w:pPr>
              <w:spacing w:before="40" w:after="40"/>
              <w:ind w:left="144"/>
            </w:pPr>
            <w:r>
              <w:rPr>
                <w:rFonts w:ascii="Arial" w:hAnsi="Arial"/>
                <w:b w:val="0"/>
                <w:i/>
                <w:color w:val="B8CCDD"/>
                <w:sz w:val="22"/>
              </w:rPr>
              <w:t>Proactive failure analysis — imagine the project has failed, then ask why</w:t>
            </w:r>
          </w:p>
          <w:p>
            <w:pPr>
              <w:spacing w:before="40" w:after="120"/>
              <w:ind w:left="144"/>
            </w:pPr>
            <w:r>
              <w:rPr>
                <w:rFonts w:ascii="Arial" w:hAnsi="Arial"/>
                <w:b w:val="0"/>
                <w:i w:val="0"/>
                <w:color w:val="7A9BBC"/>
                <w:sz w:val="18"/>
              </w:rPr>
              <w:t>Template T-17  ·  Chapter 10: Risk Management  ·  radimkaufmann.com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1A3A5C"/>
              <w:bottom w:val="single" w:sz="4" w:color="1A3A5C"/>
              <w:left w:val="single" w:sz="8" w:color="F0C040"/>
              <w:right w:val="single" w:sz="4" w:color="1A3A5C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1. SESSION INFORMATION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3456"/>
        <w:gridCol w:w="2160"/>
        <w:gridCol w:w="2304"/>
      </w:tblGrid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Name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40" w:after="40"/>
            </w:pPr>
          </w:p>
        </w:tc>
        <w:tc>
          <w:tcPr>
            <w:tcW w:type="dxa" w:w="2160"/>
            <w:shd w:val="clear" w:color="auto" w:fill="EEF4FA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Session Date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Facilitator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40" w:after="40"/>
            </w:pPr>
          </w:p>
        </w:tc>
        <w:tc>
          <w:tcPr>
            <w:tcW w:type="dxa" w:w="2160"/>
            <w:shd w:val="clear" w:color="auto" w:fill="EEF4FA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Duration (hrs)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Participants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40" w:after="4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List all participants and roles</w:t>
            </w:r>
          </w:p>
        </w:tc>
        <w:tc>
          <w:tcPr>
            <w:tcW w:type="dxa" w:w="2160"/>
            <w:shd w:val="clear" w:color="auto" w:fill="EEF4FA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Phase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40" w:after="4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e.g. End of Planning / Start of Execution</w:t>
            </w:r>
          </w:p>
        </w:tc>
        <w:tc>
          <w:tcPr>
            <w:tcW w:type="dxa" w:w="2160"/>
            <w:shd w:val="clear" w:color="auto" w:fill="EEF4FA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Method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40" w:after="4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e.g. Silent brainstorm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1A3A5C"/>
              <w:bottom w:val="single" w:sz="4" w:color="1A3A5C"/>
              <w:left w:val="single" w:sz="8" w:color="F0C040"/>
              <w:right w:val="single" w:sz="4" w:color="1A3A5C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2. THE PRE-MORTEM PREMISE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FFF3CD"/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Facilitator reads aloud to the team:</w:t>
            </w:r>
          </w:p>
          <w:p>
            <w:pPr>
              <w:spacing w:before="80" w:after="80"/>
              <w:ind w:left="144"/>
            </w:pPr>
            <w:r>
              <w:rPr>
                <w:rFonts w:ascii="Arial" w:hAnsi="Arial"/>
                <w:b w:val="0"/>
                <w:i/>
                <w:color w:val="1A1A2E"/>
                <w:sz w:val="20"/>
              </w:rPr>
              <w:t>“It is now 12 months from today. Our project has been completed — and it has failed spectacularly. The budget was exceeded. The schedule overran. Key deliverables were rejected. Stakeholders are deeply dissatisfied.</w:t>
            </w:r>
          </w:p>
          <w:p>
            <w:pPr>
              <w:spacing w:before="80" w:after="120"/>
              <w:ind w:left="144"/>
            </w:pPr>
            <w:r>
              <w:rPr>
                <w:rFonts w:ascii="Arial" w:hAnsi="Arial"/>
                <w:b/>
                <w:i/>
                <w:color w:val="1A1A2E"/>
                <w:sz w:val="20"/>
              </w:rPr>
              <w:t>Your task: write down every reason you can think of for this failure. Be specific. Be honest. Hold nothing back.”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1A3A5C"/>
              <w:bottom w:val="single" w:sz="4" w:color="1A3A5C"/>
              <w:left w:val="single" w:sz="8" w:color="F0C040"/>
              <w:right w:val="single" w:sz="4" w:color="1A3A5C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3. FAILURE MODES BY CATEGORY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76"/>
        <w:gridCol w:w="2304"/>
        <w:gridCol w:w="3600"/>
        <w:gridCol w:w="2880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#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Category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Potential Failure Mode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Prevention Action</w:t>
            </w: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1</w:t>
            </w:r>
          </w:p>
        </w:tc>
        <w:tc>
          <w:tcPr>
            <w:tcW w:type="dxa" w:w="2304"/>
            <w:shd w:val="clear" w:color="auto" w:fill="FFE4E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Scope &amp; Requirements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2</w:t>
            </w:r>
          </w:p>
        </w:tc>
        <w:tc>
          <w:tcPr>
            <w:tcW w:type="dxa" w:w="2304"/>
            <w:shd w:val="clear" w:color="auto" w:fill="FFE4E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Scope &amp; Requirements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3</w:t>
            </w:r>
          </w:p>
        </w:tc>
        <w:tc>
          <w:tcPr>
            <w:tcW w:type="dxa" w:w="2304"/>
            <w:shd w:val="clear" w:color="auto" w:fill="FFF3CD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Schedule &amp; Timeline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4</w:t>
            </w:r>
          </w:p>
        </w:tc>
        <w:tc>
          <w:tcPr>
            <w:tcW w:type="dxa" w:w="2304"/>
            <w:shd w:val="clear" w:color="auto" w:fill="FFF3CD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Schedule &amp; Timeline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5</w:t>
            </w:r>
          </w:p>
        </w:tc>
        <w:tc>
          <w:tcPr>
            <w:tcW w:type="dxa" w:w="2304"/>
            <w:shd w:val="clear" w:color="auto" w:fill="FFFDE7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Budget &amp; Cost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6</w:t>
            </w:r>
          </w:p>
        </w:tc>
        <w:tc>
          <w:tcPr>
            <w:tcW w:type="dxa" w:w="2304"/>
            <w:shd w:val="clear" w:color="auto" w:fill="FFFDE7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Budget &amp; Cost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7</w:t>
            </w:r>
          </w:p>
        </w:tc>
        <w:tc>
          <w:tcPr>
            <w:tcW w:type="dxa" w:w="2304"/>
            <w:shd w:val="clear" w:color="auto" w:fill="EDF7FF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Team &amp; Resources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8</w:t>
            </w:r>
          </w:p>
        </w:tc>
        <w:tc>
          <w:tcPr>
            <w:tcW w:type="dxa" w:w="2304"/>
            <w:shd w:val="clear" w:color="auto" w:fill="EDF7FF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Team &amp; Resources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9</w:t>
            </w:r>
          </w:p>
        </w:tc>
        <w:tc>
          <w:tcPr>
            <w:tcW w:type="dxa" w:w="2304"/>
            <w:shd w:val="clear" w:color="auto" w:fill="D6F0DD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Stakeholder &amp; Communication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10</w:t>
            </w:r>
          </w:p>
        </w:tc>
        <w:tc>
          <w:tcPr>
            <w:tcW w:type="dxa" w:w="2304"/>
            <w:shd w:val="clear" w:color="auto" w:fill="D6F0DD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Stakeholder &amp; Communication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11</w:t>
            </w:r>
          </w:p>
        </w:tc>
        <w:tc>
          <w:tcPr>
            <w:tcW w:type="dxa" w:w="2304"/>
            <w:shd w:val="clear" w:color="auto" w:fill="EEF4FA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Technical &amp; Quality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12</w:t>
            </w:r>
          </w:p>
        </w:tc>
        <w:tc>
          <w:tcPr>
            <w:tcW w:type="dxa" w:w="2304"/>
            <w:shd w:val="clear" w:color="auto" w:fill="EEF4FA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Technical &amp; Quality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13</w:t>
            </w:r>
          </w:p>
        </w:tc>
        <w:tc>
          <w:tcPr>
            <w:tcW w:type="dxa" w:w="2304"/>
            <w:shd w:val="clear" w:color="auto" w:fill="F5F0FF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External &amp; Compliance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14</w:t>
            </w:r>
          </w:p>
        </w:tc>
        <w:tc>
          <w:tcPr>
            <w:tcW w:type="dxa" w:w="2304"/>
            <w:shd w:val="clear" w:color="auto" w:fill="F5F0FF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External &amp; Compliance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  <w:tr>
        <w:tc>
          <w:tcPr>
            <w:tcW w:type="dxa" w:w="576"/>
            <w:shd w:val="clear" w:color="auto" w:fill="1A3A5C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0"/>
              </w:rPr>
              <w:t>15</w:t>
            </w:r>
          </w:p>
        </w:tc>
        <w:tc>
          <w:tcPr>
            <w:tcW w:type="dxa" w:w="2304"/>
            <w:shd w:val="clear" w:color="auto" w:fill="F7F9FC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Governance &amp; Process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320" w:after="32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20" w:after="32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1A3A5C"/>
              <w:bottom w:val="single" w:sz="4" w:color="1A3A5C"/>
              <w:left w:val="single" w:sz="8" w:color="F0C040"/>
              <w:right w:val="single" w:sz="4" w:color="1A3A5C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4. TOP RISKS — TEAM VOTE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After brainstorming, each participant votes their top 3 concerns. Tally votes. List the top 5 most-voted failure modes here.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"/>
        <w:gridCol w:w="5040"/>
        <w:gridCol w:w="1440"/>
        <w:gridCol w:w="2376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#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Top Failure Mode (as voted)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Votes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Risk ID → T-15</w:t>
            </w:r>
          </w:p>
        </w:tc>
      </w:tr>
      <w:tr>
        <w:tc>
          <w:tcPr>
            <w:tcW w:type="dxa" w:w="504"/>
            <w:shd w:val="clear" w:color="auto" w:fill="EEF4FA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1</w:t>
            </w:r>
          </w:p>
        </w:tc>
        <w:tc>
          <w:tcPr>
            <w:tcW w:type="dxa" w:w="504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376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04"/>
            <w:shd w:val="clear" w:color="auto" w:fill="EEF4FA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2</w:t>
            </w:r>
          </w:p>
        </w:tc>
        <w:tc>
          <w:tcPr>
            <w:tcW w:type="dxa" w:w="504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376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04"/>
            <w:shd w:val="clear" w:color="auto" w:fill="EEF4FA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3</w:t>
            </w:r>
          </w:p>
        </w:tc>
        <w:tc>
          <w:tcPr>
            <w:tcW w:type="dxa" w:w="504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376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04"/>
            <w:shd w:val="clear" w:color="auto" w:fill="EEF4FA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4</w:t>
            </w:r>
          </w:p>
        </w:tc>
        <w:tc>
          <w:tcPr>
            <w:tcW w:type="dxa" w:w="504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376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04"/>
            <w:shd w:val="clear" w:color="auto" w:fill="EEF4FA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5</w:t>
            </w:r>
          </w:p>
        </w:tc>
        <w:tc>
          <w:tcPr>
            <w:tcW w:type="dxa" w:w="504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376"/>
            <w:shd w:val="clear" w:color="auto" w:fill="FFFFFF"/>
          </w:tcPr>
          <w:p>
            <w:pPr>
              <w:spacing w:before="200" w:after="20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1A3A5C"/>
              <w:bottom w:val="single" w:sz="4" w:color="1A3A5C"/>
              <w:left w:val="single" w:sz="8" w:color="F0C040"/>
              <w:right w:val="single" w:sz="4" w:color="1A3A5C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5. PREVENTION ACTIONS &amp; OWNERS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"/>
        <w:gridCol w:w="4032"/>
        <w:gridCol w:w="2016"/>
        <w:gridCol w:w="1368"/>
        <w:gridCol w:w="1368"/>
      </w:tblGrid>
      <w:tr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#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Action / Countermeasure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Owner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Deadline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Priority</w:t>
            </w:r>
          </w:p>
        </w:tc>
      </w:tr>
      <w:tr>
        <w:tc>
          <w:tcPr>
            <w:tcW w:type="dxa" w:w="504"/>
            <w:shd w:val="clear" w:color="auto" w:fill="EEF4FA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1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01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H / M / L</w:t>
            </w:r>
          </w:p>
        </w:tc>
      </w:tr>
      <w:tr>
        <w:tc>
          <w:tcPr>
            <w:tcW w:type="dxa" w:w="504"/>
            <w:shd w:val="clear" w:color="auto" w:fill="EEF4FA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2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01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H / M / L</w:t>
            </w:r>
          </w:p>
        </w:tc>
      </w:tr>
      <w:tr>
        <w:tc>
          <w:tcPr>
            <w:tcW w:type="dxa" w:w="504"/>
            <w:shd w:val="clear" w:color="auto" w:fill="EEF4FA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3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01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H / M / L</w:t>
            </w:r>
          </w:p>
        </w:tc>
      </w:tr>
      <w:tr>
        <w:tc>
          <w:tcPr>
            <w:tcW w:type="dxa" w:w="504"/>
            <w:shd w:val="clear" w:color="auto" w:fill="EEF4FA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4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01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H / M / L</w:t>
            </w:r>
          </w:p>
        </w:tc>
      </w:tr>
      <w:tr>
        <w:tc>
          <w:tcPr>
            <w:tcW w:type="dxa" w:w="504"/>
            <w:shd w:val="clear" w:color="auto" w:fill="EEF4FA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5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01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H / M / L</w:t>
            </w:r>
          </w:p>
        </w:tc>
      </w:tr>
      <w:tr>
        <w:tc>
          <w:tcPr>
            <w:tcW w:type="dxa" w:w="504"/>
            <w:shd w:val="clear" w:color="auto" w:fill="EEF4FA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6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01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H / M / L</w:t>
            </w:r>
          </w:p>
        </w:tc>
      </w:tr>
      <w:tr>
        <w:tc>
          <w:tcPr>
            <w:tcW w:type="dxa" w:w="504"/>
            <w:shd w:val="clear" w:color="auto" w:fill="EEF4FA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7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01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H / M / L</w:t>
            </w:r>
          </w:p>
        </w:tc>
      </w:tr>
      <w:tr>
        <w:tc>
          <w:tcPr>
            <w:tcW w:type="dxa" w:w="504"/>
            <w:shd w:val="clear" w:color="auto" w:fill="EEF4FA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8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01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368"/>
            <w:shd w:val="clear" w:color="auto" w:fill="FFFFFF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H / M / L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1A3A5C"/>
              <w:bottom w:val="single" w:sz="4" w:color="1A3A5C"/>
              <w:left w:val="single" w:sz="8" w:color="F0C040"/>
              <w:right w:val="single" w:sz="4" w:color="1A3A5C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6. WORKSHOP OUTCOME &amp; NEXT STEPS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Key Insights from Session</w:t>
            </w:r>
          </w:p>
        </w:tc>
      </w:tr>
      <w:tr>
        <w:tc>
          <w:tcPr>
            <w:tcW w:type="dxa" w:w="10080"/>
            <w:shd w:val="clear" w:color="auto" w:fill="FFFFFF"/>
          </w:tcPr>
          <w:p>
            <w:pPr>
              <w:spacing w:before="80" w:after="100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Summarize the most important insights that emerged from the workshop...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Risks Added to Register (T-15)</w:t>
            </w:r>
          </w:p>
        </w:tc>
      </w:tr>
      <w:tr>
        <w:tc>
          <w:tcPr>
            <w:tcW w:type="dxa" w:w="10080"/>
            <w:shd w:val="clear" w:color="auto" w:fill="D6F0DD"/>
          </w:tcPr>
          <w:p>
            <w:pPr>
              <w:spacing w:before="80" w:after="100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List risk IDs added or updated in T-15 as a result of this session...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Follow-up Actions</w:t>
            </w:r>
          </w:p>
        </w:tc>
      </w:tr>
      <w:tr>
        <w:tc>
          <w:tcPr>
            <w:tcW w:type="dxa" w:w="10080"/>
            <w:shd w:val="clear" w:color="auto" w:fill="EEF4FA"/>
          </w:tcPr>
          <w:p>
            <w:pPr>
              <w:spacing w:before="80" w:after="100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List any actions that require follow-up, with owners and deadlines...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F7F9FC"/>
          </w:tcPr>
          <w:p>
            <w:pPr>
              <w:spacing w:before="80" w:after="60"/>
              <w:ind w:left="144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From the book: Project Management: From Initiation to Closure</w:t>
            </w:r>
          </w:p>
          <w:p>
            <w:pPr>
              <w:spacing w:before="40" w:after="60"/>
              <w:ind w:left="144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A pre-mortem is the single most effective one-hour investment a project team can make. It surfaces the risks that no one wants to say out loud — the ones most likely to kill the project.</w:t>
            </w:r>
          </w:p>
          <w:p>
            <w:pPr>
              <w:spacing w:before="40" w:after="80"/>
              <w:ind w:left="144"/>
            </w:pPr>
            <w:r>
              <w:rPr>
                <w:rFonts w:ascii="Arial" w:hAnsi="Arial"/>
                <w:b w:val="0"/>
                <w:i w:val="0"/>
                <w:color w:val="6A7E96"/>
                <w:sz w:val="16"/>
              </w:rPr>
              <w:t>by Radim Kaufmann  ·  radimkaufmann.com  ·  Free download — share freely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